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body>
    <w:p>
      <w:pPr>
        <w:jc w:val="center"/>
        <w:rPr>
          <w:rFonts w:ascii="宋体"/>
          <w:b/>
          <w:bCs/>
          <w:sz w:val="44"/>
          <w:szCs w:val="44"/>
        </w:rPr>
      </w:pPr>
    </w:p>
    <w:p>
      <w:pPr>
        <w:jc w:val="center"/>
        <w:rPr>
          <w:rFonts w:ascii="宋体"/>
          <w:b/>
          <w:bCs/>
          <w:sz w:val="44"/>
          <w:szCs w:val="44"/>
        </w:rPr>
      </w:pPr>
      <w:r>
        <w:rPr>
          <w:rFonts w:ascii="宋体" w:hint="eastAsia"/>
          <w:b/>
          <w:bCs/>
          <w:sz w:val="44"/>
          <w:szCs w:val="44"/>
        </w:rPr>
        <w:t>连云港市人民政府国资委201</w:t>
      </w:r>
      <w:r>
        <w:rPr>
          <w:rFonts w:ascii="宋体"/>
          <w:b/>
          <w:bCs/>
          <w:sz w:val="44"/>
          <w:szCs w:val="44"/>
        </w:rPr>
        <w:t>3</w:t>
      </w:r>
      <w:r>
        <w:rPr>
          <w:rFonts w:ascii="宋体" w:hint="eastAsia"/>
          <w:b/>
          <w:bCs/>
          <w:sz w:val="44"/>
          <w:szCs w:val="44"/>
        </w:rPr>
        <w:t xml:space="preserve">年 </w:t>
      </w:r>
    </w:p>
    <w:p>
      <w:pPr>
        <w:jc w:val="center"/>
        <w:rPr>
          <w:rFonts w:ascii="宋体"/>
          <w:b/>
          <w:bCs/>
          <w:sz w:val="44"/>
          <w:szCs w:val="44"/>
        </w:rPr>
      </w:pPr>
      <w:r>
        <w:rPr>
          <w:rFonts w:ascii="宋体" w:hint="eastAsia"/>
          <w:b/>
          <w:bCs/>
          <w:sz w:val="44"/>
          <w:szCs w:val="44"/>
        </w:rPr>
        <w:t>政府信息公开年度报告</w:t>
      </w:r>
    </w:p>
    <w:p>
      <w:pPr>
        <w:ind w:firstLineChars="200" w:firstLine="600"/>
        <w:rPr>
          <w:rFonts w:ascii="仿宋_GB2312" w:eastAsia="仿宋_GB2312"/>
          <w:bCs/>
          <w:sz w:val="30"/>
          <w:szCs w:val="30"/>
        </w:rPr>
      </w:pPr>
    </w:p>
    <w:p>
      <w:pPr>
        <w:ind w:firstLineChars="200" w:firstLine="640"/>
        <w:rPr>
          <w:rFonts w:ascii="仿宋_GB2312" w:eastAsia="仿宋_GB2312" w:hint="eastAsia"/>
          <w:bCs/>
          <w:sz w:val="32"/>
          <w:szCs w:val="32"/>
        </w:rPr>
      </w:pPr>
      <w:r>
        <w:rPr>
          <w:rFonts w:ascii="仿宋_GB2312" w:eastAsia="仿宋_GB2312" w:hint="eastAsia"/>
          <w:bCs/>
          <w:sz w:val="32"/>
          <w:szCs w:val="32"/>
        </w:rPr>
        <w:t>根据《中华人民共和国政府信息公开条例》（以下简称《条例》），特向社会公布201</w:t>
      </w:r>
      <w:r>
        <w:rPr>
          <w:rFonts w:ascii="仿宋_GB2312" w:eastAsia="仿宋_GB2312"/>
          <w:bCs/>
          <w:sz w:val="32"/>
          <w:szCs w:val="32"/>
        </w:rPr>
        <w:t>3</w:t>
      </w:r>
      <w:r>
        <w:rPr>
          <w:rFonts w:ascii="仿宋_GB2312" w:eastAsia="仿宋_GB2312" w:hint="eastAsia"/>
          <w:bCs/>
          <w:sz w:val="32"/>
          <w:szCs w:val="32"/>
        </w:rPr>
        <w:t>年度本机关信息公开年度报告。本报告由情况概述，主动公开政府信息情况，依申请公开政府信息、不予公开政府信息及咨询情况，因政府信息公开申请行政复议、提起行政诉讼情况，工作人员及收费减免情况，工作中的主要问题及改进情况，其它事项，附表共八个部分组成。本报告中所列数据的统计期限自2013年1月1日起至2013年12月31日止。本报告的电子版可在“连云港政府信息公开网上管理系统”政府门户国资委网站上下载。如对本报告有任何疑问，请与我单位办公室联系，电话：85520670。</w:t>
      </w:r>
    </w:p>
    <w:p>
      <w:pPr>
        <w:ind w:leftChars="71" w:left="149" w:firstLineChars="150" w:firstLine="480"/>
        <w:rPr>
          <w:rFonts w:ascii="仿宋_GB2312" w:eastAsia="仿宋_GB2312" w:hint="eastAsia"/>
          <w:bCs/>
          <w:sz w:val="32"/>
          <w:szCs w:val="32"/>
        </w:rPr>
      </w:pPr>
      <w:r>
        <w:rPr>
          <w:rFonts w:ascii="仿宋_GB2312" w:eastAsia="仿宋_GB2312" w:hint="eastAsia"/>
          <w:bCs/>
          <w:sz w:val="32"/>
          <w:szCs w:val="32"/>
        </w:rPr>
        <w:t>一、概述</w:t>
      </w:r>
    </w:p>
    <w:p>
      <w:pPr>
        <w:ind w:firstLineChars="150" w:firstLine="480"/>
        <w:rPr>
          <w:rFonts w:ascii="仿宋_GB2312" w:eastAsia="仿宋_GB2312" w:hint="eastAsia"/>
          <w:bCs/>
          <w:sz w:val="32"/>
          <w:szCs w:val="32"/>
        </w:rPr>
      </w:pPr>
      <w:r>
        <w:rPr>
          <w:rFonts w:ascii="仿宋_GB2312" w:eastAsia="仿宋_GB2312" w:hint="eastAsia"/>
          <w:bCs/>
          <w:sz w:val="32"/>
          <w:szCs w:val="32"/>
        </w:rPr>
        <w:t xml:space="preserve"> 我单位2013年的政府信息公开工作围绕完善政府信息公开制度和规范、深化政府信息公开内容、规范政府信息公开申请处理流程、拓展政府信息公开形式等方面取得了新的成效。今年以来，我单位主要开展了以下几方面工作：</w:t>
      </w:r>
    </w:p>
    <w:p>
      <w:pPr>
        <w:numPr>
          <w:ilvl w:val="0"/>
          <w:numId w:val="1"/>
        </w:numPr>
        <w:rPr>
          <w:rFonts w:ascii="仿宋_GB2312" w:eastAsia="仿宋_GB2312" w:hint="eastAsia"/>
          <w:bCs/>
          <w:sz w:val="32"/>
          <w:szCs w:val="32"/>
        </w:rPr>
      </w:pPr>
      <w:r>
        <w:rPr>
          <w:rFonts w:ascii="仿宋_GB2312" w:eastAsia="仿宋_GB2312" w:hint="eastAsia"/>
          <w:bCs/>
          <w:sz w:val="32"/>
          <w:szCs w:val="32"/>
        </w:rPr>
        <w:t>组织机构建设情况</w:t>
      </w:r>
    </w:p>
    <w:p>
      <w:pPr>
        <w:ind w:left="0"/>
        <w:rPr>
          <w:rFonts w:ascii="仿宋_GB2312" w:eastAsia="仿宋_GB2312" w:hint="eastAsia"/>
          <w:sz w:val="32"/>
          <w:szCs w:val="32"/>
        </w:rPr>
      </w:pPr>
      <w:r>
        <w:rPr>
          <w:rFonts w:ascii="仿宋_GB2312" w:eastAsia="仿宋_GB2312" w:hint="eastAsia"/>
          <w:sz w:val="32"/>
          <w:szCs w:val="32"/>
        </w:rPr>
        <w:t>我委高度重视，把贯彻落实《中华人民共和国政府信息公开条例》作为一项重要工作内容来抓，由于人员变动，我们及时调整领导小组人员，领导小组充分发挥作用，分工进一步明确。领导小组负责指导、监督检查制度落实情况等工作，督促按照有关制度做好主动公开、依申请公开政府信息的范围和程序，并做好材料送交、公开信息保密审查，信息更新发布等工作。</w:t>
      </w:r>
    </w:p>
    <w:p>
      <w:pPr>
        <w:ind w:firstLineChars="150" w:firstLine="480"/>
        <w:rPr>
          <w:rFonts w:ascii="仿宋_GB2312" w:eastAsia="仿宋_GB2312" w:hint="eastAsia"/>
          <w:sz w:val="32"/>
          <w:szCs w:val="32"/>
        </w:rPr>
      </w:pPr>
      <w:r>
        <w:rPr>
          <w:rFonts w:ascii="仿宋_GB2312" w:eastAsia="仿宋_GB2312" w:hint="eastAsia"/>
          <w:bCs/>
          <w:sz w:val="32"/>
          <w:szCs w:val="32"/>
        </w:rPr>
        <w:t>（二）</w:t>
      </w:r>
      <w:r>
        <w:rPr>
          <w:rFonts w:ascii="仿宋_GB2312" w:eastAsia="仿宋_GB2312" w:hint="eastAsia"/>
          <w:sz w:val="32"/>
          <w:szCs w:val="32"/>
        </w:rPr>
        <w:t>组织培训，规范信息公开</w:t>
      </w:r>
    </w:p>
    <w:p>
      <w:pPr>
        <w:ind w:firstLineChars="150" w:firstLine="480"/>
        <w:rPr>
          <w:rFonts w:ascii="仿宋_GB2312" w:eastAsia="仿宋_GB2312" w:hint="eastAsia"/>
          <w:sz w:val="32"/>
          <w:szCs w:val="32"/>
        </w:rPr>
      </w:pPr>
      <w:r>
        <w:rPr>
          <w:rFonts w:ascii="仿宋_GB2312" w:eastAsia="仿宋_GB2312" w:hint="eastAsia"/>
          <w:sz w:val="32"/>
          <w:szCs w:val="32"/>
        </w:rPr>
        <w:t>利用办公会时机，组织全体干部职工认真学习《条例》，提高对政府信息公开重要性的认识，加强对《条例》实施的领导。并将《条例》内容要求融入到业务工作中。组织政府信息公开工作人员参加业务培训，熟练掌握和规范政府信息公开的编制和发布，提高执行《条例》的能力，提升政府信息公开的水平和质量。</w:t>
      </w:r>
    </w:p>
    <w:p>
      <w:pPr>
        <w:ind w:firstLineChars="200" w:firstLine="640"/>
        <w:rPr>
          <w:rFonts w:ascii="仿宋_GB2312" w:eastAsia="仿宋_GB2312" w:hint="eastAsia"/>
          <w:bCs/>
          <w:sz w:val="32"/>
          <w:szCs w:val="32"/>
        </w:rPr>
      </w:pPr>
      <w:r>
        <w:rPr>
          <w:rFonts w:ascii="仿宋_GB2312" w:eastAsia="仿宋_GB2312" w:hint="eastAsia"/>
          <w:bCs/>
          <w:sz w:val="32"/>
          <w:szCs w:val="32"/>
        </w:rPr>
        <w:t>（三）认真编制《公开指南》和《信息公开目录》，对公众获取本单位政务信息的方法、程序、范围、时限作出说明。编写组织机构信息，向社会公布本单位政务公开办公地址、办公时间、联系方法等。将重大决策、年度重点工作与措施、与公众利益密切相关的事项、法律法规和管理规范等政务信息编入本单位的《政务信息目录》，主动向社会公开。</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（四）明确推行政府信息公开工作的时限，</w:t>
      </w:r>
    </w:p>
    <w:p>
      <w:pPr>
        <w:tabs>
          <w:tab w:val="left" w:pos="1560"/>
        </w:tabs>
        <w:ind w:firstLineChars="172" w:firstLine="550"/>
        <w:rPr>
          <w:rFonts w:ascii="仿宋_GB2312" w:eastAsia="仿宋_GB2312" w:hint="eastAsia"/>
          <w:b/>
          <w:bCs/>
          <w:sz w:val="32"/>
          <w:szCs w:val="32"/>
        </w:rPr>
      </w:pPr>
      <w:r>
        <w:rPr>
          <w:rFonts w:ascii="仿宋_GB2312" w:eastAsia="仿宋_GB2312" w:hint="eastAsia"/>
          <w:b/>
          <w:bCs/>
          <w:sz w:val="32"/>
          <w:szCs w:val="32"/>
        </w:rPr>
        <w:t>二、主动公开政府信息情况</w:t>
      </w:r>
    </w:p>
    <w:p>
      <w:pPr>
        <w:tabs>
          <w:tab w:val="left" w:pos="1560"/>
        </w:tabs>
        <w:ind w:firstLineChars="172" w:firstLine="550"/>
        <w:rPr>
          <w:rFonts w:ascii="仿宋_GB2312" w:eastAsia="仿宋_GB2312" w:hint="eastAsia"/>
          <w:sz w:val="32"/>
          <w:szCs w:val="32"/>
        </w:rPr>
      </w:pPr>
      <w:r>
        <w:rPr>
          <w:rFonts w:ascii="仿宋_GB2312" w:eastAsia="仿宋_GB2312" w:hint="eastAsia"/>
          <w:sz w:val="32"/>
          <w:szCs w:val="32"/>
        </w:rPr>
        <w:t>（</w:t>
      </w:r>
      <w:r>
        <w:rPr>
          <w:rFonts w:ascii="楷体_GB2312" w:eastAsia="楷体_GB2312" w:hint="eastAsia"/>
          <w:sz w:val="32"/>
          <w:szCs w:val="32"/>
        </w:rPr>
        <w:t>一）公开的主要内容</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本单位对政府信息进行了梳理和编目，2013年新增主动公开政府信息1</w:t>
      </w:r>
      <w:r>
        <w:rPr>
          <w:rFonts w:ascii="仿宋_GB2312" w:eastAsia="仿宋_GB2312"/>
          <w:bCs/>
          <w:sz w:val="32"/>
          <w:szCs w:val="32"/>
        </w:rPr>
        <w:t>4</w:t>
      </w:r>
      <w:r>
        <w:rPr>
          <w:rFonts w:ascii="仿宋_GB2312" w:eastAsia="仿宋_GB2312" w:hint="eastAsia"/>
          <w:bCs/>
          <w:sz w:val="32"/>
          <w:szCs w:val="32"/>
        </w:rPr>
        <w:t>条。</w:t>
      </w:r>
    </w:p>
    <w:p>
      <w:pPr>
        <w:tabs>
          <w:tab w:val="left" w:pos="1560"/>
        </w:tabs>
        <w:ind w:firstLineChars="172" w:firstLine="550"/>
        <w:rPr>
          <w:rFonts w:ascii="仿宋_GB2312" w:eastAsia="仿宋_GB2312" w:hint="eastAsia"/>
          <w:b/>
          <w:bCs/>
          <w:sz w:val="32"/>
          <w:szCs w:val="32"/>
        </w:rPr>
      </w:pPr>
      <w:r>
        <w:rPr>
          <w:rFonts w:ascii="仿宋_GB2312" w:eastAsia="仿宋_GB2312" w:hint="eastAsia"/>
          <w:b/>
          <w:bCs/>
          <w:sz w:val="32"/>
          <w:szCs w:val="32"/>
        </w:rPr>
        <w:t>（二）公开形式</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1、互联网</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（1）在本机关网站上设立了政府信息公开专栏，发布各类政府信息。</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（2）通过政府门户网站信息公开网上管理系统国资委窗口对外公开。</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2、公共查阅点</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市档案馆为全市政府公开信息集中查阅中心。本机关已主动向市档案馆报送政府信息纸质全文14件、纸质目录14条、电子目录14条、电子全文14件。</w:t>
      </w:r>
    </w:p>
    <w:p>
      <w:pPr>
        <w:tabs>
          <w:tab w:val="left" w:pos="1560"/>
        </w:tabs>
        <w:ind w:firstLineChars="172" w:firstLine="550"/>
        <w:rPr>
          <w:rFonts w:ascii="仿宋_GB2312" w:eastAsia="仿宋_GB2312" w:hint="eastAsia"/>
          <w:b/>
          <w:bCs/>
          <w:sz w:val="32"/>
          <w:szCs w:val="32"/>
        </w:rPr>
      </w:pPr>
      <w:r>
        <w:rPr>
          <w:rFonts w:ascii="仿宋_GB2312" w:eastAsia="仿宋_GB2312" w:hint="eastAsia"/>
          <w:b/>
          <w:bCs/>
          <w:sz w:val="32"/>
          <w:szCs w:val="32"/>
        </w:rPr>
        <w:t>三、依申请公开、不予公开及咨询政府信息情况</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2013年，我委没有接收到书面或其他形式要求公开政府信息的申请。</w:t>
      </w:r>
    </w:p>
    <w:p>
      <w:pPr>
        <w:tabs>
          <w:tab w:val="left" w:pos="1560"/>
        </w:tabs>
        <w:ind w:firstLineChars="172" w:firstLine="550"/>
        <w:rPr>
          <w:rFonts w:ascii="仿宋_GB2312" w:eastAsia="仿宋_GB2312" w:hint="eastAsia"/>
          <w:b/>
          <w:bCs/>
          <w:sz w:val="32"/>
          <w:szCs w:val="32"/>
        </w:rPr>
      </w:pPr>
      <w:r>
        <w:rPr>
          <w:rFonts w:ascii="仿宋_GB2312" w:eastAsia="仿宋_GB2312" w:hint="eastAsia"/>
          <w:b/>
          <w:bCs/>
          <w:sz w:val="32"/>
          <w:szCs w:val="32"/>
        </w:rPr>
        <w:t>四、申请行政复议、提起行政诉讼和申诉的情况</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没有因为政府信息公开工作而被申请行政复议或被提起行政诉讼。</w:t>
      </w:r>
    </w:p>
    <w:p>
      <w:pPr>
        <w:tabs>
          <w:tab w:val="left" w:pos="1560"/>
        </w:tabs>
        <w:ind w:firstLineChars="172" w:firstLine="550"/>
        <w:rPr>
          <w:rFonts w:ascii="仿宋_GB2312" w:eastAsia="仿宋_GB2312" w:hint="eastAsia"/>
          <w:b/>
          <w:bCs/>
          <w:sz w:val="32"/>
          <w:szCs w:val="32"/>
        </w:rPr>
      </w:pPr>
      <w:r>
        <w:rPr>
          <w:rFonts w:ascii="仿宋_GB2312" w:eastAsia="仿宋_GB2312" w:hint="eastAsia"/>
          <w:b/>
          <w:bCs/>
          <w:sz w:val="32"/>
          <w:szCs w:val="32"/>
        </w:rPr>
        <w:t>五、工作人员及收费、减免情况</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（一）本单位从事政府信息公开工作的全职人员3人。</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（二）政府信息公开事务支出情况</w:t>
      </w:r>
    </w:p>
    <w:p>
      <w:pPr>
        <w:tabs>
          <w:tab w:val="left" w:pos="1560"/>
        </w:tabs>
        <w:ind w:firstLineChars="222" w:firstLine="710"/>
        <w:rPr>
          <w:rFonts w:ascii="仿宋_GB2312" w:eastAsia="仿宋_GB2312" w:hint="eastAsia"/>
          <w:bCs/>
          <w:sz w:val="32"/>
          <w:szCs w:val="32"/>
        </w:rPr>
      </w:pPr>
      <w:r>
        <w:rPr>
          <w:rFonts w:ascii="仿宋_GB2312" w:eastAsia="仿宋_GB2312" w:hint="eastAsia"/>
          <w:bCs/>
          <w:sz w:val="32"/>
          <w:szCs w:val="32"/>
        </w:rPr>
        <w:t>2013年我委在政府信息公开事务方面无费用支出。</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（三）依申请公开政府信息收费及减免情况</w:t>
      </w:r>
    </w:p>
    <w:p>
      <w:pPr>
        <w:tabs>
          <w:tab w:val="left" w:pos="1560"/>
        </w:tabs>
        <w:ind w:firstLineChars="222" w:firstLine="710"/>
        <w:rPr>
          <w:rFonts w:ascii="仿宋_GB2312" w:eastAsia="仿宋_GB2312" w:hint="eastAsia"/>
          <w:bCs/>
          <w:sz w:val="32"/>
          <w:szCs w:val="32"/>
        </w:rPr>
      </w:pPr>
      <w:r>
        <w:rPr>
          <w:rFonts w:ascii="仿宋_GB2312" w:eastAsia="仿宋_GB2312" w:hint="eastAsia"/>
          <w:bCs/>
          <w:sz w:val="32"/>
          <w:szCs w:val="32"/>
        </w:rPr>
        <w:t>2013年，我委没有信息公开的收费及减免。</w:t>
      </w:r>
    </w:p>
    <w:p>
      <w:pPr>
        <w:tabs>
          <w:tab w:val="left" w:pos="1560"/>
        </w:tabs>
        <w:ind w:firstLineChars="172" w:firstLine="550"/>
        <w:rPr>
          <w:rFonts w:ascii="仿宋_GB2312" w:eastAsia="仿宋_GB2312" w:hint="eastAsia"/>
          <w:b/>
          <w:bCs/>
          <w:sz w:val="32"/>
          <w:szCs w:val="32"/>
        </w:rPr>
      </w:pPr>
      <w:r>
        <w:rPr>
          <w:rFonts w:ascii="仿宋_GB2312" w:eastAsia="仿宋_GB2312" w:hint="eastAsia"/>
          <w:b/>
          <w:bCs/>
          <w:sz w:val="32"/>
          <w:szCs w:val="32"/>
        </w:rPr>
        <w:t>六、工作存在的主要问题和改进情况</w:t>
      </w:r>
    </w:p>
    <w:p>
      <w:pPr>
        <w:tabs>
          <w:tab w:val="left" w:pos="1560"/>
        </w:tabs>
        <w:ind w:firstLineChars="222" w:firstLine="710"/>
        <w:rPr>
          <w:rFonts w:ascii="仿宋_GB2312" w:eastAsia="仿宋_GB2312" w:hint="eastAsia"/>
          <w:bCs/>
          <w:sz w:val="32"/>
          <w:szCs w:val="32"/>
        </w:rPr>
      </w:pPr>
      <w:r>
        <w:rPr>
          <w:rFonts w:ascii="仿宋_GB2312" w:eastAsia="仿宋_GB2312" w:hint="eastAsia"/>
          <w:bCs/>
          <w:sz w:val="32"/>
          <w:szCs w:val="32"/>
        </w:rPr>
        <w:t>2013年，我</w:t>
      </w:r>
      <w:r>
        <w:rPr>
          <w:rFonts w:ascii="仿宋_GB2312" w:eastAsia="仿宋_GB2312"/>
          <w:bCs/>
          <w:sz w:val="32"/>
          <w:szCs w:val="32"/>
        </w:rPr>
        <w:t>委</w:t>
      </w:r>
      <w:r>
        <w:rPr>
          <w:rFonts w:ascii="仿宋_GB2312" w:eastAsia="仿宋_GB2312" w:hint="eastAsia"/>
          <w:bCs/>
          <w:sz w:val="32"/>
          <w:szCs w:val="32"/>
        </w:rPr>
        <w:t>政府信息公开工作在深化政府信息公开内容、完善政府信息公开配套工作、加强政府信息公开基础性工作等方面取得了新的进展，但与公众的需求还存在一些差距，公开形式便民性需要进一步提高。结合工作中存在问题和不足，考虑从以下三个方面进一步改进：</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（一）努力规范信息公开流程。进一步梳理委机关所掌握的政府信息，及时提供，定期维护，确保政府信息公开工作能按照既定的工作流程有效运作，公众能够方便查询。</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（二）拓展政府信息公开形式。继续强化本单位网站和政府信息公开网上管理系统作为政府信息公开渠道的功能，积极拓展政府信息公开形式，进一步完善网站建设，提高公众的认知度和认可度。</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（三）加强培训和宣传工作。加强对全委干部职工的培训，提升公开意识，提高信息服务水平；同时，通过网站宣传，引导社会公众正确行使知情权。</w:t>
      </w:r>
    </w:p>
    <w:p>
      <w:pPr>
        <w:tabs>
          <w:tab w:val="left" w:pos="1560"/>
        </w:tabs>
        <w:ind w:firstLineChars="172" w:firstLine="550"/>
        <w:rPr>
          <w:rFonts w:ascii="仿宋_GB2312" w:eastAsia="仿宋_GB2312" w:hint="eastAsia"/>
          <w:b/>
          <w:bCs/>
          <w:sz w:val="32"/>
          <w:szCs w:val="32"/>
        </w:rPr>
      </w:pPr>
      <w:r>
        <w:rPr>
          <w:rFonts w:ascii="仿宋_GB2312" w:eastAsia="仿宋_GB2312" w:hint="eastAsia"/>
          <w:b/>
          <w:bCs/>
          <w:sz w:val="32"/>
          <w:szCs w:val="32"/>
        </w:rPr>
        <w:t>七、其他事项</w:t>
      </w:r>
    </w:p>
    <w:p>
      <w:pPr>
        <w:tabs>
          <w:tab w:val="left" w:pos="1560"/>
        </w:tabs>
        <w:ind w:firstLineChars="172" w:firstLine="550"/>
        <w:rPr>
          <w:rFonts w:ascii="仿宋_GB2312" w:eastAsia="仿宋_GB2312" w:hint="eastAsia"/>
          <w:bCs/>
          <w:sz w:val="32"/>
          <w:szCs w:val="32"/>
        </w:rPr>
      </w:pPr>
      <w:r>
        <w:rPr>
          <w:rFonts w:ascii="仿宋_GB2312" w:eastAsia="仿宋_GB2312" w:hint="eastAsia"/>
          <w:bCs/>
          <w:sz w:val="32"/>
          <w:szCs w:val="32"/>
        </w:rPr>
        <w:t>我委2013年没有需要报告的事项。</w:t>
      </w:r>
    </w:p>
    <w:p>
      <w:pPr>
        <w:widowControl/>
        <w:snapToGrid w:val="0"/>
        <w:spacing w:line="460" w:lineRule="atLeast"/>
        <w:textAlignment w:val="top"/>
        <w:rPr>
          <w:rFonts w:ascii="inherit" w:cs="宋体" w:hAnsi="inherit" w:hint="eastAsia"/>
          <w:kern w:val="0"/>
          <w:sz w:val="28"/>
          <w:szCs w:val="28"/>
        </w:rPr>
      </w:pPr>
    </w:p>
    <w:p>
      <w:pPr>
        <w:widowControl/>
        <w:snapToGrid w:val="0"/>
        <w:spacing w:line="460" w:lineRule="atLeast"/>
        <w:textAlignment w:val="top"/>
        <w:rPr>
          <w:rFonts w:ascii="inherit" w:cs="宋体" w:hAnsi="inherit" w:hint="eastAsia"/>
          <w:kern w:val="0"/>
          <w:sz w:val="28"/>
          <w:szCs w:val="28"/>
        </w:rPr>
      </w:pPr>
    </w:p>
    <w:p>
      <w:pPr>
        <w:widowControl/>
        <w:snapToGrid w:val="0"/>
        <w:spacing w:line="460" w:lineRule="atLeast"/>
        <w:textAlignment w:val="top"/>
        <w:rPr>
          <w:rFonts w:ascii="inherit" w:cs="宋体" w:hAnsi="inherit" w:hint="eastAsia"/>
          <w:kern w:val="0"/>
          <w:sz w:val="28"/>
          <w:szCs w:val="28"/>
        </w:rPr>
      </w:pPr>
    </w:p>
    <w:p>
      <w:pPr>
        <w:widowControl/>
        <w:snapToGrid w:val="0"/>
        <w:spacing w:line="460" w:lineRule="atLeast"/>
        <w:textAlignment w:val="top"/>
        <w:rPr>
          <w:rFonts w:ascii="inherit" w:cs="宋体" w:hAnsi="inherit" w:hint="eastAsia"/>
          <w:kern w:val="0"/>
          <w:sz w:val="28"/>
          <w:szCs w:val="28"/>
        </w:rPr>
      </w:pPr>
      <w:r>
        <w:rPr>
          <w:rFonts w:ascii="inherit" w:cs="宋体" w:hAnsi="inherit" w:hint="eastAsia"/>
          <w:kern w:val="0"/>
          <w:sz w:val="28"/>
          <w:szCs w:val="28"/>
        </w:rPr>
        <w:t>附表:</w:t>
      </w:r>
    </w:p>
    <w:p>
      <w:pPr>
        <w:widowControl/>
        <w:snapToGrid w:val="0"/>
        <w:spacing w:line="460" w:lineRule="atLeast"/>
        <w:jc w:val="center"/>
        <w:textAlignment w:val="top"/>
        <w:rPr>
          <w:rFonts w:ascii="inherit" w:cs="宋体" w:hAnsi="inherit" w:hint="eastAsia"/>
          <w:b/>
          <w:kern w:val="0"/>
          <w:sz w:val="24"/>
        </w:rPr>
      </w:pPr>
      <w:r>
        <w:rPr>
          <w:rFonts w:ascii="inherit" w:cs="宋体" w:hAnsi="inherit"/>
          <w:b/>
          <w:kern w:val="0"/>
          <w:sz w:val="24"/>
        </w:rPr>
        <w:t>主动公开情况统计</w:t>
      </w:r>
    </w:p>
    <w:p>
      <w:pPr>
        <w:widowControl/>
        <w:snapToGrid w:val="0"/>
        <w:spacing w:line="460" w:lineRule="atLeast"/>
        <w:jc w:val="center"/>
        <w:textAlignment w:val="top"/>
        <w:rPr>
          <w:rFonts w:ascii="inherit" w:cs="宋体" w:hAnsi="inherit" w:hint="eastAsia"/>
          <w:kern w:val="0"/>
          <w:sz w:val="24"/>
        </w:rPr>
      </w:pPr>
      <w:r>
        <w:rPr>
          <w:rFonts w:ascii="inherit" w:cs="宋体" w:hAnsi="inherit"/>
          <w:kern w:val="0"/>
          <w:sz w:val="24"/>
        </w:rPr>
        <w:t> </w:t>
      </w:r>
    </w:p>
    <w:tbl>
      <w:tblPr>
        <w:jc w:val="left"/>
        <w:tblInd w:w="108"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4860"/>
        <w:gridCol w:w="900"/>
        <w:gridCol w:w="2520"/>
      </w:tblGrid>
      <w:tr>
        <w:tc>
          <w:tcPr>
            <w:tcW w:w="4860" w:type="dxa"/>
            <w:tcBorders>
              <w:top w:val="single" w:sz="8" w:space="0" w:color="auto"/>
              <w:left w:val="single" w:sz="4" w:space="0" w:color="auto"/>
              <w:bottom w:val="single" w:sz="8" w:space="0" w:color="auto"/>
              <w:right w:val="single" w:sz="8" w:space="0" w:color="auto"/>
            </w:tcBorders>
            <w:tcMar>
              <w:left w:w="108" w:type="dxa"/>
              <w:right w:w="108" w:type="dxa"/>
            </w:tcMar>
          </w:tcPr>
          <w:p>
            <w:pPr>
              <w:widowControl/>
              <w:spacing w:line="460" w:lineRule="atLeast"/>
              <w:jc w:val="center"/>
              <w:rPr>
                <w:rFonts w:ascii="inherit" w:cs="宋体" w:hAnsi="inherit" w:hint="eastAsia"/>
                <w:b/>
                <w:kern w:val="0"/>
                <w:sz w:val="24"/>
              </w:rPr>
            </w:pPr>
            <w:r>
              <w:rPr>
                <w:rFonts w:ascii="inherit" w:cs="宋体" w:hAnsi="inherit"/>
                <w:b/>
                <w:kern w:val="0"/>
                <w:sz w:val="24"/>
              </w:rPr>
              <w:t>指标</w:t>
            </w:r>
          </w:p>
        </w:tc>
        <w:tc>
          <w:tcPr>
            <w:tcW w:w="900" w:type="dxa"/>
            <w:tcBorders>
              <w:top w:val="single" w:sz="8" w:space="0" w:color="auto"/>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b/>
                <w:kern w:val="0"/>
                <w:sz w:val="24"/>
              </w:rPr>
            </w:pPr>
            <w:r>
              <w:rPr>
                <w:rFonts w:ascii="inherit" w:cs="宋体" w:hAnsi="inherit"/>
                <w:b/>
                <w:kern w:val="0"/>
                <w:sz w:val="24"/>
              </w:rPr>
              <w:t>单位</w:t>
            </w:r>
          </w:p>
        </w:tc>
        <w:tc>
          <w:tcPr>
            <w:tcW w:w="2520" w:type="dxa"/>
            <w:tcBorders>
              <w:top w:val="single" w:sz="8" w:space="0" w:color="auto"/>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b/>
                <w:kern w:val="0"/>
                <w:sz w:val="24"/>
              </w:rPr>
            </w:pPr>
            <w:r>
              <w:rPr>
                <w:rFonts w:ascii="inherit" w:cs="宋体" w:hAnsi="inherit"/>
                <w:b/>
                <w:kern w:val="0"/>
                <w:sz w:val="24"/>
              </w:rPr>
              <w:t>数量</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主动公开信息数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条</w:t>
            </w:r>
          </w:p>
        </w:tc>
        <w:tc>
          <w:tcPr>
            <w:tcW w:w="2520" w:type="dxa"/>
            <w:tcBorders>
              <w:top w:val="nil"/>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14</w:t>
            </w:r>
          </w:p>
        </w:tc>
      </w:tr>
      <w:tr>
        <w:trPr>
          <w:trHeight w:val="420"/>
        </w:trPr>
        <w:tc>
          <w:tcPr>
            <w:tcW w:w="4860" w:type="dxa"/>
            <w:tcBorders>
              <w:top w:val="nil"/>
              <w:left w:val="single" w:sz="4" w:space="0" w:color="auto"/>
              <w:bottom w:val="single" w:sz="4"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其中：全文电子化的主动公开信息数</w:t>
            </w:r>
          </w:p>
        </w:tc>
        <w:tc>
          <w:tcPr>
            <w:tcW w:w="900" w:type="dxa"/>
            <w:tcBorders>
              <w:top w:val="nil"/>
              <w:left w:val="nil"/>
              <w:bottom w:val="single" w:sz="4"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条</w:t>
            </w:r>
          </w:p>
        </w:tc>
        <w:tc>
          <w:tcPr>
            <w:tcW w:w="2520" w:type="dxa"/>
            <w:tcBorders>
              <w:top w:val="nil"/>
              <w:left w:val="nil"/>
              <w:bottom w:val="single" w:sz="4"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14</w:t>
            </w:r>
          </w:p>
        </w:tc>
      </w:tr>
      <w:tr>
        <w:trPr>
          <w:trHeight w:val="480"/>
        </w:trPr>
        <w:tc>
          <w:tcPr>
            <w:tcW w:w="4860" w:type="dxa"/>
            <w:tcBorders>
              <w:top w:val="single" w:sz="4" w:space="0" w:color="auto"/>
              <w:left w:val="single" w:sz="4" w:space="0" w:color="auto"/>
              <w:bottom w:val="single" w:sz="8" w:space="0" w:color="auto"/>
              <w:right w:val="single" w:sz="8" w:space="0" w:color="auto"/>
            </w:tcBorders>
            <w:tcMar>
              <w:left w:w="108" w:type="dxa"/>
              <w:right w:w="108" w:type="dxa"/>
            </w:tcMar>
          </w:tcPr>
          <w:p>
            <w:pPr>
              <w:spacing w:line="460" w:lineRule="atLeast"/>
              <w:jc w:val="left"/>
              <w:rPr>
                <w:rFonts w:ascii="inherit" w:cs="宋体" w:hAnsi="inherit" w:hint="eastAsia"/>
                <w:kern w:val="0"/>
                <w:sz w:val="24"/>
              </w:rPr>
            </w:pPr>
            <w:r>
              <w:rPr>
                <w:rFonts w:ascii="inherit" w:cs="宋体" w:hAnsi="inherit" w:hint="eastAsia"/>
                <w:kern w:val="0"/>
                <w:sz w:val="24"/>
              </w:rPr>
              <w:t>新增的行政规范性文件数</w:t>
            </w:r>
          </w:p>
        </w:tc>
        <w:tc>
          <w:tcPr>
            <w:tcW w:w="900" w:type="dxa"/>
            <w:tcBorders>
              <w:top w:val="single" w:sz="4" w:space="0" w:color="auto"/>
              <w:left w:val="nil"/>
              <w:bottom w:val="single" w:sz="8" w:space="0" w:color="auto"/>
              <w:right w:val="single" w:sz="8" w:space="0" w:color="auto"/>
            </w:tcBorders>
            <w:tcMar>
              <w:left w:w="108" w:type="dxa"/>
              <w:right w:w="108" w:type="dxa"/>
            </w:tcMar>
            <w:vAlign w:val="center"/>
          </w:tcPr>
          <w:p>
            <w:pPr>
              <w:spacing w:line="460" w:lineRule="atLeast"/>
              <w:jc w:val="center"/>
              <w:rPr>
                <w:rFonts w:ascii="inherit" w:cs="宋体" w:hAnsi="inherit" w:hint="eastAsia"/>
                <w:kern w:val="0"/>
                <w:sz w:val="24"/>
              </w:rPr>
            </w:pPr>
            <w:r>
              <w:rPr>
                <w:rFonts w:ascii="inherit" w:cs="宋体" w:hAnsi="inherit" w:hint="eastAsia"/>
                <w:kern w:val="0"/>
                <w:sz w:val="24"/>
              </w:rPr>
              <w:t>条</w:t>
            </w:r>
          </w:p>
        </w:tc>
        <w:tc>
          <w:tcPr>
            <w:tcW w:w="2520" w:type="dxa"/>
            <w:tcBorders>
              <w:top w:val="single" w:sz="4" w:space="0" w:color="auto"/>
              <w:left w:val="nil"/>
              <w:bottom w:val="single" w:sz="8" w:space="0" w:color="auto"/>
              <w:right w:val="single" w:sz="4" w:space="0" w:color="auto"/>
            </w:tcBorders>
            <w:tcMar>
              <w:left w:w="108" w:type="dxa"/>
              <w:right w:w="108" w:type="dxa"/>
            </w:tcMar>
            <w:vAlign w:val="center"/>
          </w:tcPr>
          <w:p>
            <w:pPr>
              <w:spacing w:line="460" w:lineRule="atLeast"/>
              <w:jc w:val="center"/>
              <w:rPr>
                <w:rFonts w:ascii="inherit" w:cs="宋体" w:hAnsi="inherit" w:hint="eastAsia"/>
                <w:kern w:val="0"/>
                <w:sz w:val="24"/>
              </w:rPr>
            </w:pPr>
            <w:r>
              <w:rPr>
                <w:rFonts w:ascii="inherit" w:cs="宋体" w:hAnsi="inherit" w:hint="eastAsia"/>
                <w:kern w:val="0"/>
                <w:sz w:val="24"/>
              </w:rPr>
              <w:t>0</w:t>
            </w:r>
          </w:p>
        </w:tc>
      </w:tr>
    </w:tbl>
    <w:p>
      <w:pPr>
        <w:pStyle w:val="18"/>
        <w:snapToGrid w:val="0"/>
        <w:spacing w:line="460" w:lineRule="atLeast"/>
        <w:jc w:val="center"/>
        <w:textAlignment w:val="top"/>
      </w:pPr>
    </w:p>
    <w:p>
      <w:pPr>
        <w:pStyle w:val="18"/>
        <w:snapToGrid w:val="0"/>
        <w:spacing w:line="460" w:lineRule="atLeast"/>
        <w:jc w:val="center"/>
        <w:textAlignment w:val="top"/>
        <w:rPr>
          <w:rFonts w:ascii="inherit" w:hAnsi="inherit" w:hint="eastAsia"/>
          <w:b/>
        </w:rPr>
      </w:pPr>
      <w:r>
        <w:rPr>
          <w:b/>
        </w:rPr>
        <w:t>依申请公开情况统计</w:t>
      </w:r>
      <w:r>
        <w:rPr>
          <w:rFonts w:ascii="inherit" w:hAnsi="inherit"/>
          <w:b/>
        </w:rPr>
        <w:t> </w:t>
      </w:r>
    </w:p>
    <w:tbl>
      <w:tblPr>
        <w:jc w:val="left"/>
        <w:tblInd w:w="108"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4860"/>
        <w:gridCol w:w="900"/>
        <w:gridCol w:w="2520"/>
      </w:tblGrid>
      <w:tr>
        <w:tc>
          <w:tcPr>
            <w:tcW w:w="4860" w:type="dxa"/>
            <w:tcBorders>
              <w:top w:val="single" w:sz="4" w:space="0" w:color="auto"/>
              <w:left w:val="single" w:sz="4" w:space="0" w:color="auto"/>
              <w:bottom w:val="single" w:sz="4" w:space="0" w:color="auto"/>
              <w:right w:val="single" w:sz="8" w:space="0" w:color="auto"/>
            </w:tcBorders>
            <w:tcMar>
              <w:left w:w="108" w:type="dxa"/>
              <w:right w:w="108" w:type="dxa"/>
            </w:tcMar>
          </w:tcPr>
          <w:p>
            <w:pPr>
              <w:widowControl/>
              <w:spacing w:line="460" w:lineRule="atLeast"/>
              <w:jc w:val="center"/>
              <w:rPr>
                <w:rFonts w:ascii="inherit" w:cs="宋体" w:hAnsi="inherit" w:hint="eastAsia"/>
                <w:b/>
                <w:kern w:val="0"/>
                <w:sz w:val="24"/>
              </w:rPr>
            </w:pPr>
            <w:r>
              <w:rPr>
                <w:rFonts w:ascii="inherit" w:cs="宋体" w:hAnsi="inherit"/>
                <w:b/>
                <w:kern w:val="0"/>
                <w:sz w:val="24"/>
              </w:rPr>
              <w:t>指标</w:t>
            </w:r>
          </w:p>
        </w:tc>
        <w:tc>
          <w:tcPr>
            <w:tcW w:w="900" w:type="dxa"/>
            <w:tcBorders>
              <w:top w:val="single" w:sz="8" w:space="0" w:color="auto"/>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b/>
                <w:kern w:val="0"/>
                <w:sz w:val="24"/>
              </w:rPr>
            </w:pPr>
            <w:r>
              <w:rPr>
                <w:rFonts w:ascii="inherit" w:cs="宋体" w:hAnsi="inherit"/>
                <w:b/>
                <w:kern w:val="0"/>
                <w:sz w:val="24"/>
              </w:rPr>
              <w:t>单位</w:t>
            </w:r>
          </w:p>
        </w:tc>
        <w:tc>
          <w:tcPr>
            <w:tcW w:w="2520" w:type="dxa"/>
            <w:tcBorders>
              <w:top w:val="single" w:sz="8" w:space="0" w:color="auto"/>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b/>
                <w:kern w:val="0"/>
                <w:sz w:val="24"/>
              </w:rPr>
            </w:pPr>
            <w:r>
              <w:rPr>
                <w:rFonts w:ascii="inherit" w:cs="宋体" w:hAnsi="inherit"/>
                <w:b/>
                <w:kern w:val="0"/>
                <w:sz w:val="24"/>
              </w:rPr>
              <w:t>数量</w:t>
            </w:r>
          </w:p>
        </w:tc>
      </w:tr>
      <w:tr>
        <w:tc>
          <w:tcPr>
            <w:tcW w:w="4860" w:type="dxa"/>
            <w:tcBorders>
              <w:top w:val="single" w:sz="4" w:space="0" w:color="auto"/>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申请总数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其中：1.当面申请数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2.传真申请数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3.电子邮件申请数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4.网上申请数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rPr>
          <w:trHeight w:val="345"/>
        </w:trP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5.信函申请数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4"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rPr>
          <w:trHeight w:val="270"/>
        </w:trP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6.其他形式申请数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single" w:sz="4" w:space="0" w:color="auto"/>
              <w:left w:val="nil"/>
              <w:bottom w:val="single" w:sz="4"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对申请的答复总数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single" w:sz="4" w:space="0" w:color="auto"/>
              <w:left w:val="nil"/>
              <w:bottom w:val="single" w:sz="4"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其中：1.同意公开答复数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single" w:sz="4" w:space="0" w:color="auto"/>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2.同意部分公开答复数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3.否决公开答复总数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rPr>
          <w:trHeight w:val="400"/>
        </w:trPr>
        <w:tc>
          <w:tcPr>
            <w:tcW w:w="4860" w:type="dxa"/>
            <w:tcBorders>
              <w:top w:val="nil"/>
              <w:left w:val="single" w:sz="4" w:space="0" w:color="auto"/>
              <w:bottom w:val="single" w:sz="4"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其中：（1）</w:t>
            </w:r>
            <w:r>
              <w:rPr>
                <w:rFonts w:ascii="inherit" w:cs="宋体" w:hAnsi="inherit" w:hint="eastAsia"/>
                <w:kern w:val="0"/>
                <w:sz w:val="24"/>
              </w:rPr>
              <w:t>非《规定》所指政府信息数</w:t>
            </w:r>
            <w:r>
              <w:rPr>
                <w:rFonts w:ascii="inherit" w:cs="宋体" w:hAnsi="inherit"/>
                <w:kern w:val="0"/>
                <w:sz w:val="24"/>
              </w:rPr>
              <w:t>数</w:t>
            </w:r>
          </w:p>
        </w:tc>
        <w:tc>
          <w:tcPr>
            <w:tcW w:w="900" w:type="dxa"/>
            <w:tcBorders>
              <w:top w:val="nil"/>
              <w:left w:val="nil"/>
              <w:bottom w:val="single" w:sz="4"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4"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rPr>
          <w:trHeight w:val="280"/>
        </w:trPr>
        <w:tc>
          <w:tcPr>
            <w:tcW w:w="4860" w:type="dxa"/>
            <w:tcBorders>
              <w:top w:val="single" w:sz="4" w:space="0" w:color="auto"/>
              <w:left w:val="single" w:sz="4" w:space="0" w:color="auto"/>
              <w:bottom w:val="single" w:sz="8" w:space="0" w:color="auto"/>
              <w:right w:val="single" w:sz="8" w:space="0" w:color="auto"/>
            </w:tcBorders>
            <w:tcMar>
              <w:left w:w="108" w:type="dxa"/>
              <w:right w:w="108" w:type="dxa"/>
            </w:tcMar>
          </w:tcPr>
          <w:p>
            <w:pPr>
              <w:spacing w:line="460" w:lineRule="atLeast"/>
              <w:ind w:firstLineChars="300" w:firstLine="720"/>
              <w:jc w:val="left"/>
              <w:rPr>
                <w:rFonts w:ascii="inherit" w:cs="宋体" w:hAnsi="inherit" w:hint="eastAsia"/>
                <w:kern w:val="0"/>
                <w:sz w:val="24"/>
              </w:rPr>
            </w:pPr>
            <w:r>
              <w:rPr>
                <w:rFonts w:ascii="inherit" w:cs="宋体" w:hAnsi="inherit"/>
                <w:kern w:val="0"/>
                <w:sz w:val="24"/>
              </w:rPr>
              <w:t>（2）"信息不存在"数</w:t>
            </w:r>
          </w:p>
        </w:tc>
        <w:tc>
          <w:tcPr>
            <w:tcW w:w="900" w:type="dxa"/>
            <w:tcBorders>
              <w:top w:val="single" w:sz="4" w:space="0" w:color="auto"/>
              <w:left w:val="nil"/>
              <w:bottom w:val="single" w:sz="8" w:space="0" w:color="auto"/>
              <w:right w:val="single" w:sz="8" w:space="0" w:color="auto"/>
            </w:tcBorders>
            <w:tcMar>
              <w:left w:w="108" w:type="dxa"/>
              <w:right w:w="108" w:type="dxa"/>
            </w:tcMar>
            <w:vAlign w:val="center"/>
          </w:tcPr>
          <w:p>
            <w:pPr>
              <w:spacing w:line="460" w:lineRule="atLeast"/>
              <w:jc w:val="center"/>
              <w:rPr>
                <w:rFonts w:ascii="inherit" w:cs="宋体" w:hAnsi="inherit" w:hint="eastAsia"/>
                <w:kern w:val="0"/>
                <w:sz w:val="24"/>
              </w:rPr>
            </w:pPr>
            <w:r>
              <w:rPr>
                <w:rFonts w:ascii="inherit" w:cs="宋体" w:hAnsi="inherit" w:hint="eastAsia"/>
                <w:kern w:val="0"/>
                <w:sz w:val="24"/>
              </w:rPr>
              <w:t>件</w:t>
            </w:r>
          </w:p>
        </w:tc>
        <w:tc>
          <w:tcPr>
            <w:tcW w:w="2520" w:type="dxa"/>
            <w:tcBorders>
              <w:top w:val="single" w:sz="4" w:space="0" w:color="auto"/>
              <w:left w:val="nil"/>
              <w:bottom w:val="single" w:sz="4"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        </w:t>
            </w:r>
            <w:r>
              <w:rPr>
                <w:rFonts w:ascii="inherit" w:cs="宋体" w:hAnsi="inherit" w:hint="eastAsia"/>
                <w:kern w:val="0"/>
                <w:sz w:val="24"/>
              </w:rPr>
              <w:t xml:space="preserve">  </w:t>
            </w:r>
            <w:r>
              <w:rPr>
                <w:rFonts w:ascii="inherit" w:cs="宋体" w:hAnsi="inherit"/>
                <w:kern w:val="0"/>
                <w:sz w:val="24"/>
              </w:rPr>
              <w:t>（3）  "非本部门掌握"数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single" w:sz="4" w:space="0" w:color="auto"/>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     </w:t>
            </w:r>
            <w:r>
              <w:rPr>
                <w:rFonts w:ascii="inherit" w:cs="宋体" w:hAnsi="inherit" w:hint="eastAsia"/>
                <w:kern w:val="0"/>
                <w:sz w:val="24"/>
              </w:rPr>
              <w:t xml:space="preserve">   </w:t>
            </w:r>
            <w:r>
              <w:rPr>
                <w:rFonts w:ascii="inherit" w:cs="宋体" w:hAnsi="inherit"/>
                <w:kern w:val="0"/>
                <w:sz w:val="24"/>
              </w:rPr>
              <w:t> （4）  "申请内容不明确"数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rPr>
          <w:trHeight w:val="360"/>
        </w:trPr>
        <w:tc>
          <w:tcPr>
            <w:tcW w:w="4860" w:type="dxa"/>
            <w:tcBorders>
              <w:top w:val="nil"/>
              <w:left w:val="single" w:sz="4" w:space="0" w:color="auto"/>
              <w:bottom w:val="single" w:sz="4" w:space="0" w:color="auto"/>
              <w:right w:val="single" w:sz="8" w:space="0" w:color="auto"/>
            </w:tcBorders>
            <w:tcMar>
              <w:left w:w="108" w:type="dxa"/>
              <w:right w:w="108" w:type="dxa"/>
            </w:tcMar>
          </w:tcPr>
          <w:p>
            <w:pPr>
              <w:widowControl/>
              <w:jc w:val="left"/>
              <w:rPr>
                <w:rFonts w:ascii="inherit" w:cs="宋体" w:hAnsi="inherit" w:hint="eastAsia"/>
                <w:kern w:val="0"/>
                <w:sz w:val="24"/>
              </w:rPr>
            </w:pPr>
            <w:r>
              <w:rPr>
                <w:rFonts w:ascii="inherit" w:cs="宋体" w:hAnsi="inherit"/>
                <w:kern w:val="0"/>
                <w:sz w:val="24"/>
              </w:rPr>
              <w:t>       </w:t>
            </w:r>
            <w:r>
              <w:rPr>
                <w:rFonts w:ascii="inherit" w:cs="宋体" w:hAnsi="inherit" w:hint="eastAsia"/>
                <w:kern w:val="0"/>
                <w:sz w:val="24"/>
              </w:rPr>
              <w:t xml:space="preserve">  </w:t>
            </w:r>
            <w:r>
              <w:rPr>
                <w:rFonts w:ascii="inherit" w:cs="宋体" w:hAnsi="inherit"/>
                <w:kern w:val="0"/>
                <w:sz w:val="24"/>
              </w:rPr>
              <w:t> （</w:t>
            </w:r>
            <w:r>
              <w:rPr>
                <w:rFonts w:ascii="inherit" w:cs="宋体" w:hAnsi="inherit" w:hint="eastAsia"/>
                <w:kern w:val="0"/>
                <w:sz w:val="24"/>
              </w:rPr>
              <w:t>5</w:t>
            </w:r>
            <w:r>
              <w:rPr>
                <w:rFonts w:ascii="inherit" w:cs="宋体" w:hAnsi="inherit"/>
                <w:kern w:val="0"/>
                <w:sz w:val="24"/>
              </w:rPr>
              <w:t>）"免予公开范围"数</w:t>
            </w:r>
          </w:p>
        </w:tc>
        <w:tc>
          <w:tcPr>
            <w:tcW w:w="900" w:type="dxa"/>
            <w:tcBorders>
              <w:top w:val="nil"/>
              <w:left w:val="nil"/>
              <w:bottom w:val="single" w:sz="4"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4"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r>
        <w:trPr>
          <w:trHeight w:val="360"/>
        </w:trPr>
        <w:tc>
          <w:tcPr>
            <w:tcW w:w="4860" w:type="dxa"/>
            <w:tcBorders>
              <w:top w:val="single" w:sz="4" w:space="0" w:color="auto"/>
              <w:left w:val="single" w:sz="4" w:space="0" w:color="auto"/>
              <w:bottom w:val="single" w:sz="8" w:space="0" w:color="auto"/>
              <w:right w:val="single" w:sz="8" w:space="0" w:color="auto"/>
            </w:tcBorders>
            <w:tcMar>
              <w:left w:w="108" w:type="dxa"/>
              <w:right w:w="108" w:type="dxa"/>
            </w:tcMar>
          </w:tcPr>
          <w:p>
            <w:pPr>
              <w:ind w:firstLineChars="300" w:firstLine="720"/>
              <w:jc w:val="left"/>
              <w:rPr>
                <w:rFonts w:ascii="inherit" w:cs="宋体" w:hAnsi="inherit" w:hint="eastAsia"/>
                <w:kern w:val="0"/>
                <w:sz w:val="24"/>
              </w:rPr>
            </w:pPr>
            <w:r>
              <w:rPr>
                <w:rFonts w:ascii="inherit" w:cs="宋体" w:hAnsi="inherit"/>
                <w:kern w:val="0"/>
                <w:sz w:val="24"/>
              </w:rPr>
              <w:t>（</w:t>
            </w:r>
            <w:r>
              <w:rPr>
                <w:rFonts w:ascii="inherit" w:cs="宋体" w:hAnsi="inherit" w:hint="eastAsia"/>
                <w:kern w:val="0"/>
                <w:sz w:val="24"/>
              </w:rPr>
              <w:t>6</w:t>
            </w:r>
            <w:r>
              <w:rPr>
                <w:rFonts w:ascii="inherit" w:cs="宋体" w:hAnsi="inherit"/>
                <w:kern w:val="0"/>
                <w:sz w:val="24"/>
              </w:rPr>
              <w:t>）</w:t>
            </w:r>
            <w:r>
              <w:rPr>
                <w:rFonts w:ascii="inherit" w:cs="宋体" w:hAnsi="inherit" w:hint="eastAsia"/>
                <w:kern w:val="0"/>
                <w:sz w:val="24"/>
              </w:rPr>
              <w:t>其他原因</w:t>
            </w:r>
          </w:p>
        </w:tc>
        <w:tc>
          <w:tcPr>
            <w:tcW w:w="900" w:type="dxa"/>
            <w:tcBorders>
              <w:top w:val="single" w:sz="4" w:space="0" w:color="auto"/>
              <w:left w:val="nil"/>
              <w:bottom w:val="single" w:sz="8" w:space="0" w:color="auto"/>
              <w:right w:val="single" w:sz="8" w:space="0" w:color="auto"/>
            </w:tcBorders>
            <w:tcMar>
              <w:left w:w="108" w:type="dxa"/>
              <w:right w:w="108" w:type="dxa"/>
            </w:tcMar>
            <w:vAlign w:val="center"/>
          </w:tcPr>
          <w:p>
            <w:pPr>
              <w:spacing w:line="460" w:lineRule="atLeast"/>
              <w:jc w:val="center"/>
              <w:rPr>
                <w:rFonts w:ascii="inherit" w:cs="宋体" w:hAnsi="inherit" w:hint="eastAsia"/>
                <w:kern w:val="0"/>
                <w:sz w:val="24"/>
              </w:rPr>
            </w:pPr>
            <w:r>
              <w:rPr>
                <w:rFonts w:ascii="inherit" w:cs="宋体" w:hAnsi="inherit" w:hint="eastAsia"/>
                <w:kern w:val="0"/>
                <w:sz w:val="24"/>
              </w:rPr>
              <w:t>件</w:t>
            </w:r>
          </w:p>
        </w:tc>
        <w:tc>
          <w:tcPr>
            <w:tcW w:w="2520" w:type="dxa"/>
            <w:tcBorders>
              <w:top w:val="single" w:sz="4" w:space="0" w:color="auto"/>
              <w:left w:val="nil"/>
              <w:bottom w:val="single" w:sz="8" w:space="0" w:color="auto"/>
              <w:right w:val="single" w:sz="4" w:space="0" w:color="auto"/>
            </w:tcBorders>
            <w:tcMar>
              <w:left w:w="108" w:type="dxa"/>
              <w:right w:w="108" w:type="dxa"/>
            </w:tcMar>
          </w:tcPr>
          <w:p>
            <w:pPr>
              <w:jc w:val="center"/>
              <w:rPr>
                <w:sz w:val="24"/>
              </w:rPr>
            </w:pPr>
            <w:r>
              <w:rPr>
                <w:rFonts w:ascii="inherit" w:cs="宋体" w:hAnsi="inherit" w:hint="eastAsia"/>
                <w:kern w:val="0"/>
                <w:sz w:val="24"/>
              </w:rPr>
              <w:t>0</w:t>
            </w:r>
          </w:p>
        </w:tc>
      </w:tr>
    </w:tbl>
    <w:p>
      <w:pPr>
        <w:widowControl/>
        <w:snapToGrid w:val="0"/>
        <w:spacing w:line="460" w:lineRule="atLeast"/>
        <w:jc w:val="center"/>
        <w:textAlignment w:val="top"/>
        <w:rPr>
          <w:rFonts w:ascii="inherit" w:cs="宋体" w:hAnsi="inherit" w:hint="eastAsia"/>
          <w:b/>
          <w:kern w:val="0"/>
          <w:sz w:val="24"/>
        </w:rPr>
      </w:pPr>
      <w:r>
        <w:rPr>
          <w:rFonts w:ascii="inherit" w:cs="宋体" w:hAnsi="inherit"/>
          <w:b/>
          <w:kern w:val="0"/>
          <w:sz w:val="24"/>
        </w:rPr>
        <w:t>咨询情况统计</w:t>
      </w:r>
    </w:p>
    <w:p>
      <w:pPr>
        <w:widowControl/>
        <w:snapToGrid w:val="0"/>
        <w:spacing w:line="460" w:lineRule="atLeast"/>
        <w:jc w:val="center"/>
        <w:textAlignment w:val="top"/>
        <w:rPr>
          <w:rFonts w:ascii="inherit" w:cs="宋体" w:hAnsi="inherit" w:hint="eastAsia"/>
          <w:kern w:val="0"/>
          <w:sz w:val="24"/>
        </w:rPr>
      </w:pPr>
      <w:r>
        <w:rPr>
          <w:rFonts w:ascii="inherit" w:cs="宋体" w:hAnsi="inherit"/>
          <w:kern w:val="0"/>
          <w:sz w:val="24"/>
        </w:rPr>
        <w:t> </w:t>
      </w:r>
    </w:p>
    <w:tbl>
      <w:tblPr>
        <w:jc w:val="left"/>
        <w:tblInd w:w="108"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4860"/>
        <w:gridCol w:w="900"/>
        <w:gridCol w:w="2520"/>
      </w:tblGrid>
      <w:tr>
        <w:tc>
          <w:tcPr>
            <w:tcW w:w="4860" w:type="dxa"/>
            <w:tcBorders>
              <w:top w:val="single" w:sz="8" w:space="0" w:color="auto"/>
              <w:left w:val="single" w:sz="4" w:space="0" w:color="auto"/>
              <w:bottom w:val="single" w:sz="8" w:space="0" w:color="auto"/>
              <w:right w:val="single" w:sz="8" w:space="0" w:color="auto"/>
            </w:tcBorders>
            <w:tcMar>
              <w:left w:w="108" w:type="dxa"/>
              <w:right w:w="108" w:type="dxa"/>
            </w:tcMar>
          </w:tcPr>
          <w:p>
            <w:pPr>
              <w:widowControl/>
              <w:spacing w:line="460" w:lineRule="atLeast"/>
              <w:jc w:val="center"/>
              <w:rPr>
                <w:rFonts w:ascii="inherit" w:cs="宋体" w:hAnsi="inherit" w:hint="eastAsia"/>
                <w:kern w:val="0"/>
                <w:sz w:val="24"/>
              </w:rPr>
            </w:pPr>
            <w:r>
              <w:rPr>
                <w:rFonts w:ascii="inherit" w:cs="宋体" w:hAnsi="inherit"/>
                <w:kern w:val="0"/>
                <w:sz w:val="24"/>
              </w:rPr>
              <w:t>指标</w:t>
            </w:r>
          </w:p>
        </w:tc>
        <w:tc>
          <w:tcPr>
            <w:tcW w:w="900" w:type="dxa"/>
            <w:tcBorders>
              <w:top w:val="single" w:sz="8" w:space="0" w:color="auto"/>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单位</w:t>
            </w:r>
          </w:p>
        </w:tc>
        <w:tc>
          <w:tcPr>
            <w:tcW w:w="2520" w:type="dxa"/>
            <w:tcBorders>
              <w:top w:val="single" w:sz="8" w:space="0" w:color="auto"/>
              <w:left w:val="nil"/>
              <w:bottom w:val="single" w:sz="4"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数量</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提供服务类信息数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条</w:t>
            </w:r>
          </w:p>
        </w:tc>
        <w:tc>
          <w:tcPr>
            <w:tcW w:w="2520" w:type="dxa"/>
            <w:tcBorders>
              <w:top w:val="single" w:sz="4" w:space="0" w:color="auto"/>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约360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网上咨询数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人次</w:t>
            </w:r>
          </w:p>
        </w:tc>
        <w:tc>
          <w:tcPr>
            <w:tcW w:w="2520" w:type="dxa"/>
            <w:tcBorders>
              <w:top w:val="nil"/>
              <w:left w:val="nil"/>
              <w:bottom w:val="single" w:sz="4"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hint="eastAsia"/>
                <w:kern w:val="0"/>
                <w:sz w:val="24"/>
              </w:rPr>
              <w:t>约</w:t>
            </w:r>
            <w:r>
              <w:rPr>
                <w:rFonts w:ascii="inherit" w:cs="宋体" w:hAnsi="inherit"/>
                <w:kern w:val="0"/>
                <w:sz w:val="24"/>
              </w:rPr>
              <w:t>15</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现场接待人数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人次</w:t>
            </w:r>
          </w:p>
        </w:tc>
        <w:tc>
          <w:tcPr>
            <w:tcW w:w="2520" w:type="dxa"/>
            <w:tcBorders>
              <w:top w:val="single" w:sz="4" w:space="0" w:color="auto"/>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约10</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咨询电话接听数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人次</w:t>
            </w:r>
          </w:p>
        </w:tc>
        <w:tc>
          <w:tcPr>
            <w:tcW w:w="2520" w:type="dxa"/>
            <w:tcBorders>
              <w:top w:val="nil"/>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约26</w:t>
            </w:r>
          </w:p>
        </w:tc>
      </w:tr>
      <w:tr>
        <w:tc>
          <w:tcPr>
            <w:tcW w:w="4860" w:type="dxa"/>
            <w:tcBorders>
              <w:top w:val="nil"/>
              <w:left w:val="single" w:sz="4" w:space="0" w:color="auto"/>
              <w:bottom w:val="single" w:sz="8" w:space="0" w:color="auto"/>
              <w:right w:val="single" w:sz="8" w:space="0" w:color="auto"/>
            </w:tcBorders>
            <w:tcMar>
              <w:left w:w="108" w:type="dxa"/>
              <w:right w:w="108" w:type="dxa"/>
            </w:tcMar>
          </w:tcPr>
          <w:p>
            <w:pPr>
              <w:widowControl/>
              <w:spacing w:line="460" w:lineRule="atLeast"/>
              <w:jc w:val="left"/>
              <w:rPr>
                <w:rFonts w:ascii="inherit" w:cs="宋体" w:hAnsi="inherit" w:hint="eastAsia"/>
                <w:kern w:val="0"/>
                <w:sz w:val="24"/>
              </w:rPr>
            </w:pPr>
            <w:r>
              <w:rPr>
                <w:rFonts w:ascii="inherit" w:cs="宋体" w:hAnsi="inherit"/>
                <w:kern w:val="0"/>
                <w:sz w:val="24"/>
              </w:rPr>
              <w:t>网站</w:t>
            </w:r>
            <w:r>
              <w:rPr>
                <w:rFonts w:ascii="inherit" w:cs="宋体" w:hAnsi="inherit" w:hint="eastAsia"/>
                <w:kern w:val="0"/>
                <w:sz w:val="24"/>
              </w:rPr>
              <w:t>专栏</w:t>
            </w:r>
            <w:r>
              <w:rPr>
                <w:rFonts w:ascii="inherit" w:cs="宋体" w:hAnsi="inherit"/>
                <w:kern w:val="0"/>
                <w:sz w:val="24"/>
              </w:rPr>
              <w:t>页面访问量</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人次</w:t>
            </w:r>
          </w:p>
        </w:tc>
        <w:tc>
          <w:tcPr>
            <w:tcW w:w="2520" w:type="dxa"/>
            <w:tcBorders>
              <w:top w:val="nil"/>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hint="eastAsia"/>
                <w:kern w:val="0"/>
                <w:sz w:val="24"/>
              </w:rPr>
              <w:t>约</w:t>
            </w:r>
            <w:r>
              <w:rPr>
                <w:rFonts w:ascii="inherit" w:cs="宋体" w:hAnsi="inherit"/>
                <w:kern w:val="0"/>
                <w:sz w:val="24"/>
              </w:rPr>
              <w:t>2100</w:t>
            </w:r>
          </w:p>
        </w:tc>
      </w:tr>
    </w:tbl>
    <w:p>
      <w:pPr>
        <w:widowControl/>
        <w:snapToGrid w:val="0"/>
        <w:spacing w:line="460" w:lineRule="atLeast"/>
        <w:jc w:val="center"/>
        <w:textAlignment w:val="top"/>
        <w:rPr>
          <w:rFonts w:ascii="inherit" w:cs="宋体" w:hAnsi="inherit" w:hint="eastAsia"/>
          <w:kern w:val="0"/>
          <w:sz w:val="24"/>
        </w:rPr>
      </w:pPr>
    </w:p>
    <w:p>
      <w:pPr>
        <w:widowControl/>
        <w:snapToGrid w:val="0"/>
        <w:spacing w:line="460" w:lineRule="atLeast"/>
        <w:jc w:val="center"/>
        <w:textAlignment w:val="top"/>
        <w:rPr>
          <w:rFonts w:ascii="inherit" w:cs="宋体" w:hAnsi="inherit" w:hint="eastAsia"/>
          <w:b/>
          <w:kern w:val="0"/>
          <w:sz w:val="24"/>
        </w:rPr>
      </w:pPr>
      <w:r>
        <w:rPr>
          <w:rFonts w:ascii="inherit" w:cs="宋体" w:hAnsi="inherit"/>
          <w:b/>
          <w:kern w:val="0"/>
          <w:sz w:val="24"/>
        </w:rPr>
        <w:t>申诉情况统计表</w:t>
      </w:r>
    </w:p>
    <w:p>
      <w:pPr>
        <w:widowControl/>
        <w:snapToGrid w:val="0"/>
        <w:spacing w:line="460" w:lineRule="atLeast"/>
        <w:jc w:val="center"/>
        <w:textAlignment w:val="top"/>
        <w:rPr>
          <w:rFonts w:ascii="inherit" w:cs="宋体" w:hAnsi="inherit" w:hint="eastAsia"/>
          <w:kern w:val="0"/>
          <w:sz w:val="24"/>
        </w:rPr>
      </w:pPr>
      <w:r>
        <w:rPr>
          <w:rFonts w:ascii="inherit" w:cs="宋体" w:hAnsi="inherit"/>
          <w:kern w:val="0"/>
          <w:sz w:val="24"/>
        </w:rPr>
        <w:t> </w:t>
      </w:r>
    </w:p>
    <w:tbl>
      <w:tblPr>
        <w:jc w:val="left"/>
        <w:tblInd w:w="108"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4860"/>
        <w:gridCol w:w="900"/>
        <w:gridCol w:w="2520"/>
      </w:tblGrid>
      <w:tr>
        <w:tc>
          <w:tcPr>
            <w:tcW w:w="4860" w:type="dxa"/>
            <w:tcBorders>
              <w:top w:val="single" w:sz="8" w:space="0" w:color="auto"/>
              <w:left w:val="single" w:sz="4" w:space="0" w:color="auto"/>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指标</w:t>
            </w:r>
          </w:p>
        </w:tc>
        <w:tc>
          <w:tcPr>
            <w:tcW w:w="900" w:type="dxa"/>
            <w:tcBorders>
              <w:top w:val="single" w:sz="8" w:space="0" w:color="auto"/>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单位</w:t>
            </w:r>
          </w:p>
        </w:tc>
        <w:tc>
          <w:tcPr>
            <w:tcW w:w="2520" w:type="dxa"/>
            <w:tcBorders>
              <w:top w:val="single" w:sz="8" w:space="0" w:color="auto"/>
              <w:left w:val="nil"/>
              <w:bottom w:val="single" w:sz="4"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数量</w:t>
            </w:r>
          </w:p>
        </w:tc>
      </w:tr>
      <w:tr>
        <w:tc>
          <w:tcPr>
            <w:tcW w:w="4860" w:type="dxa"/>
            <w:tcBorders>
              <w:top w:val="nil"/>
              <w:left w:val="single" w:sz="4" w:space="0" w:color="auto"/>
              <w:bottom w:val="single" w:sz="8" w:space="0" w:color="auto"/>
              <w:right w:val="single" w:sz="8" w:space="0" w:color="auto"/>
            </w:tcBorders>
            <w:tcMar>
              <w:left w:w="108" w:type="dxa"/>
              <w:right w:w="108" w:type="dxa"/>
            </w:tcMar>
            <w:vAlign w:val="center"/>
          </w:tcPr>
          <w:p>
            <w:pPr>
              <w:widowControl/>
              <w:spacing w:line="460" w:lineRule="atLeast"/>
              <w:jc w:val="left"/>
              <w:rPr>
                <w:rFonts w:ascii="inherit" w:cs="宋体" w:hAnsi="inherit" w:hint="eastAsia"/>
                <w:kern w:val="0"/>
                <w:sz w:val="24"/>
              </w:rPr>
            </w:pPr>
            <w:r>
              <w:rPr>
                <w:rFonts w:ascii="inherit" w:cs="宋体" w:hAnsi="inherit"/>
                <w:kern w:val="0"/>
                <w:sz w:val="24"/>
              </w:rPr>
              <w:t>行政复议数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single" w:sz="4" w:space="0" w:color="auto"/>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vAlign w:val="center"/>
          </w:tcPr>
          <w:p>
            <w:pPr>
              <w:widowControl/>
              <w:spacing w:line="460" w:lineRule="atLeast"/>
              <w:jc w:val="left"/>
              <w:rPr>
                <w:rFonts w:ascii="inherit" w:cs="宋体" w:hAnsi="inherit" w:hint="eastAsia"/>
                <w:kern w:val="0"/>
                <w:sz w:val="24"/>
              </w:rPr>
            </w:pPr>
            <w:r>
              <w:rPr>
                <w:rFonts w:ascii="inherit" w:cs="宋体" w:hAnsi="inherit"/>
                <w:kern w:val="0"/>
                <w:sz w:val="24"/>
              </w:rPr>
              <w:t>行政诉讼数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4"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vAlign w:val="center"/>
          </w:tcPr>
          <w:p>
            <w:pPr>
              <w:widowControl/>
              <w:spacing w:line="460" w:lineRule="atLeast"/>
              <w:jc w:val="left"/>
              <w:rPr>
                <w:rFonts w:ascii="inherit" w:cs="宋体" w:hAnsi="inherit" w:hint="eastAsia"/>
                <w:kern w:val="0"/>
                <w:sz w:val="24"/>
              </w:rPr>
            </w:pPr>
            <w:r>
              <w:rPr>
                <w:rFonts w:ascii="inherit" w:cs="宋体" w:hAnsi="inherit"/>
                <w:kern w:val="0"/>
                <w:sz w:val="24"/>
              </w:rPr>
              <w:t>行政申诉数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single" w:sz="4" w:space="0" w:color="auto"/>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0</w:t>
            </w:r>
          </w:p>
        </w:tc>
      </w:tr>
      <w:tr>
        <w:tc>
          <w:tcPr>
            <w:tcW w:w="4860" w:type="dxa"/>
            <w:tcBorders>
              <w:top w:val="nil"/>
              <w:left w:val="single" w:sz="4" w:space="0" w:color="auto"/>
              <w:bottom w:val="single" w:sz="8" w:space="0" w:color="auto"/>
              <w:right w:val="single" w:sz="8" w:space="0" w:color="auto"/>
            </w:tcBorders>
            <w:tcMar>
              <w:left w:w="108" w:type="dxa"/>
              <w:right w:w="108" w:type="dxa"/>
            </w:tcMar>
            <w:vAlign w:val="center"/>
          </w:tcPr>
          <w:p>
            <w:pPr>
              <w:widowControl/>
              <w:spacing w:line="460" w:lineRule="atLeast"/>
              <w:jc w:val="left"/>
              <w:rPr>
                <w:rFonts w:ascii="inherit" w:cs="宋体" w:hAnsi="inherit" w:hint="eastAsia"/>
                <w:kern w:val="0"/>
                <w:sz w:val="24"/>
              </w:rPr>
            </w:pPr>
            <w:r>
              <w:rPr>
                <w:rFonts w:ascii="inherit" w:cs="宋体" w:hAnsi="inherit"/>
                <w:kern w:val="0"/>
                <w:sz w:val="24"/>
              </w:rPr>
              <w:t>其中：对本部门首次处理不满意的行政申诉数</w:t>
            </w:r>
          </w:p>
        </w:tc>
        <w:tc>
          <w:tcPr>
            <w:tcW w:w="900" w:type="dxa"/>
            <w:tcBorders>
              <w:top w:val="nil"/>
              <w:left w:val="nil"/>
              <w:bottom w:val="single" w:sz="8" w:space="0" w:color="auto"/>
              <w:right w:val="single" w:sz="8"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件</w:t>
            </w:r>
          </w:p>
        </w:tc>
        <w:tc>
          <w:tcPr>
            <w:tcW w:w="2520" w:type="dxa"/>
            <w:tcBorders>
              <w:top w:val="nil"/>
              <w:left w:val="nil"/>
              <w:bottom w:val="single" w:sz="8" w:space="0" w:color="auto"/>
              <w:right w:val="single" w:sz="4" w:space="0" w:color="auto"/>
            </w:tcBorders>
            <w:tcMar>
              <w:left w:w="108" w:type="dxa"/>
              <w:right w:w="108" w:type="dxa"/>
            </w:tcMar>
            <w:vAlign w:val="center"/>
          </w:tcPr>
          <w:p>
            <w:pPr>
              <w:widowControl/>
              <w:spacing w:line="460" w:lineRule="atLeast"/>
              <w:jc w:val="center"/>
              <w:rPr>
                <w:rFonts w:ascii="inherit" w:cs="宋体" w:hAnsi="inherit" w:hint="eastAsia"/>
                <w:kern w:val="0"/>
                <w:sz w:val="24"/>
              </w:rPr>
            </w:pPr>
            <w:r>
              <w:rPr>
                <w:rFonts w:ascii="inherit" w:cs="宋体" w:hAnsi="inherit"/>
                <w:kern w:val="0"/>
                <w:sz w:val="24"/>
              </w:rPr>
              <w:t>0</w:t>
            </w:r>
          </w:p>
        </w:tc>
      </w:tr>
    </w:tbl>
    <w:p>
      <w:pPr>
        <w:spacing w:line="480" w:lineRule="exact"/>
        <w:rPr>
          <w:rFonts w:ascii="宋体"/>
          <w:sz w:val="24"/>
        </w:rPr>
      </w:pPr>
    </w:p>
    <w:p/>
    <w:sectPr>
      <w:headerReference w:type="default" r:id="rId2"/>
      <w:footerReference w:type="default" r:id="rId3"/>
      <w:footerReference w:type="even" r:id="rId4"/>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仿宋_GB2312">
    <w:panose1 w:val="02010609030101010101"/>
    <w:charset w:val="86"/>
    <w:family w:val="auto"/>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inherit">
    <w:altName w:val="Arial"/>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6"/>
      <w:tabs>
        <w:tab w:val="center" w:pos="4153"/>
        <w:tab w:val="right" w:pos="8306"/>
      </w:tabs>
      <w:jc w:val="center"/>
    </w:pPr>
    <w:r>
      <w:fldChar w:fldCharType="begin"/>
    </w:r>
    <w:r>
      <w:instrText xml:space="preserve"> PAGE   \* MERGEFORMAT </w:instrText>
    </w:r>
    <w:r>
      <w:fldChar w:fldCharType="separate"/>
    </w:r>
    <w:r>
      <w:rPr>
        <w:lang w:val="zh-CN"/>
      </w:rPr>
      <w:t>1</w:t>
    </w:r>
    <w:r>
      <w:fldChar w:fldCharType="end"/>
    </w:r>
  </w:p>
  <w:p>
    <w:pPr>
      <w:pStyle w:val="16"/>
      <w:tabs>
        <w:tab w:val="center" w:pos="4153"/>
        <w:tab w:val="right" w:pos="8306"/>
      </w:tabs>
      <w:ind w:right="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6"/>
      <w:framePr w:w="0" w:hRule="auto" w:wrap="around" w:vAnchor="text" w:hAnchor="margin" w:xAlign="right" w:y="1" w:anchorLock="0"/>
      <w:tabs>
        <w:tab w:val="center" w:pos="4153"/>
        <w:tab w:val="right" w:pos="8306"/>
      </w:tabs>
      <w:rPr>
        <w:rStyle w:val="17"/>
      </w:rPr>
    </w:pPr>
    <w:r>
      <w:rPr>
        <w:rStyle w:val="17"/>
      </w:rPr>
      <w:fldChar w:fldCharType="begin"/>
    </w:r>
    <w:r>
      <w:rPr>
        <w:rStyle w:val="17"/>
      </w:rPr>
      <w:instrText xml:space="preserve">PAGE  </w:instrText>
    </w:r>
    <w:r>
      <w:rPr>
        <w:rStyle w:val="17"/>
      </w:rPr>
      <w:fldChar w:fldCharType="separate"/>
    </w:r>
    <w:r>
      <w:rPr>
        <w:rStyle w:val="17"/>
      </w:rPr>
      <w:fldChar w:fldCharType="end"/>
    </w:r>
  </w:p>
  <w:p>
    <w:pPr>
      <w:pStyle w:val="16"/>
      <w:tabs>
        <w:tab w:val="center" w:pos="4153"/>
        <w:tab w:val="right" w:pos="8306"/>
      </w:tabs>
      <w:ind w:right="360"/>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w:p>
    <w:pPr>
      <w:pStyle w:val="19"/>
      <w:pBdr>
        <w:bottom w:val="none" w:sz="0" w:space="0" w:color="auto"/>
      </w:pBdr>
      <w:tabs>
        <w:tab w:val="center" w:pos="4153"/>
        <w:tab w:val="right" w:pos="8306"/>
      </w:tabs>
      <w:jc w:val="both"/>
    </w:pPr>
  </w:p>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80505B28"/>
    <w:multiLevelType w:val="hybridMultilevel"/>
    <w:tmpl w:val="00000000"/>
    <w:lvl w:ilvl="0">
      <w:start w:val="1"/>
      <w:numFmt w:val="chineseCountingThousand"/>
      <w:lvlRestart w:val="0"/>
      <w:lvlText w:val="（%1）"/>
      <w:lvlJc w:val="left"/>
      <w:pPr>
        <w:tabs>
          <w:tab w:val="num" w:pos="1350"/>
        </w:tabs>
        <w:ind w:left="1350" w:hanging="900"/>
      </w:pPr>
    </w:lvl>
    <w:lvl w:ilvl="1">
      <w:start w:val="1"/>
      <w:numFmt w:val="lowerLetter"/>
      <w:lvlText w:val="%2)"/>
      <w:lvlJc w:val="left"/>
      <w:pPr>
        <w:tabs>
          <w:tab w:val="num" w:pos="1290"/>
        </w:tabs>
        <w:ind w:left="1290" w:hanging="420"/>
      </w:pPr>
    </w:lvl>
    <w:lvl w:ilvl="2">
      <w:start w:val="1"/>
      <w:numFmt w:val="lowerRoman"/>
      <w:lvlText w:val="%3."/>
      <w:lvlJc w:val="right"/>
      <w:pPr>
        <w:tabs>
          <w:tab w:val="num" w:pos="1710"/>
        </w:tabs>
        <w:ind w:left="1710" w:hanging="420"/>
      </w:pPr>
    </w:lvl>
    <w:lvl w:ilvl="3">
      <w:start w:val="1"/>
      <w:numFmt w:val="decimal"/>
      <w:lvlText w:val="%4."/>
      <w:lvlJc w:val="left"/>
      <w:pPr>
        <w:tabs>
          <w:tab w:val="num" w:pos="2130"/>
        </w:tabs>
        <w:ind w:left="2130" w:hanging="420"/>
      </w:pPr>
    </w:lvl>
    <w:lvl w:ilvl="4">
      <w:start w:val="1"/>
      <w:numFmt w:val="lowerLetter"/>
      <w:lvlText w:val="%5)"/>
      <w:lvlJc w:val="left"/>
      <w:pPr>
        <w:tabs>
          <w:tab w:val="num" w:pos="2550"/>
        </w:tabs>
        <w:ind w:left="2550" w:hanging="420"/>
      </w:pPr>
    </w:lvl>
    <w:lvl w:ilvl="5">
      <w:start w:val="1"/>
      <w:numFmt w:val="lowerRoman"/>
      <w:lvlText w:val="%6."/>
      <w:lvlJc w:val="right"/>
      <w:pPr>
        <w:tabs>
          <w:tab w:val="num" w:pos="2970"/>
        </w:tabs>
        <w:ind w:left="2970" w:hanging="420"/>
      </w:pPr>
    </w:lvl>
    <w:lvl w:ilvl="6">
      <w:start w:val="1"/>
      <w:numFmt w:val="decimal"/>
      <w:lvlText w:val="%7."/>
      <w:lvlJc w:val="left"/>
      <w:pPr>
        <w:tabs>
          <w:tab w:val="num" w:pos="3390"/>
        </w:tabs>
        <w:ind w:left="3390" w:hanging="420"/>
      </w:pPr>
    </w:lvl>
    <w:lvl w:ilvl="7">
      <w:start w:val="1"/>
      <w:numFmt w:val="lowerLetter"/>
      <w:lvlText w:val="%8)"/>
      <w:lvlJc w:val="left"/>
      <w:pPr>
        <w:tabs>
          <w:tab w:val="num" w:pos="3810"/>
        </w:tabs>
        <w:ind w:left="3810" w:hanging="420"/>
      </w:pPr>
    </w:lvl>
    <w:lvl w:ilvl="8">
      <w:start w:val="1"/>
      <w:numFmt w:val="lowerRoman"/>
      <w:lvlText w:val="%9."/>
      <w:lvlJc w:val="right"/>
      <w:pPr>
        <w:tabs>
          <w:tab w:val="num" w:pos="4230"/>
        </w:tabs>
        <w:ind w:left="423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Lines/>
      <w:widowControl w:val="0"/>
      <w:spacing w:before="340" w:after="330" w:line="576" w:lineRule="auto"/>
      <w:outlineLvl w:val="0"/>
    </w:pPr>
    <w:rPr>
      <w:b/>
      <w:kern w:val="44"/>
      <w:sz w:val="44"/>
      <w:szCs w:val="20"/>
    </w:rPr>
  </w:style>
  <w:style w:type="character" w:default="1" w:styleId="10">
    <w:name w:val="Default Paragraph Font"/>
  </w:style>
  <w:style w:type="character" w:customStyle="1" w:styleId="15">
    <w:name w:val="标题 1 Char"/>
    <w:basedOn w:val="10"/>
    <w:rPr>
      <w:rFonts w:ascii="宋体" w:eastAsia="宋体"/>
      <w:b/>
      <w:bCs/>
      <w:kern w:val="44"/>
      <w:sz w:val="44"/>
      <w:szCs w:val="44"/>
      <w:lang w:val="en-US" w:eastAsia="zh-CN" w:bidi="ar-SA"/>
    </w:rPr>
  </w:style>
  <w:style w:type="paragraph" w:styleId="16">
    <w:name w:val="footer"/>
    <w:basedOn w:val="0"/>
    <w:pPr>
      <w:tabs>
        <w:tab w:val="center" w:pos="4153"/>
        <w:tab w:val="right" w:pos="8306"/>
      </w:tabs>
      <w:snapToGrid w:val="0"/>
      <w:jc w:val="left"/>
    </w:pPr>
    <w:rPr>
      <w:sz w:val="18"/>
      <w:szCs w:val="18"/>
    </w:rPr>
  </w:style>
  <w:style w:type="character" w:styleId="17">
    <w:name w:val="page number"/>
    <w:basedOn w:val="10"/>
  </w:style>
  <w:style w:type="paragraph" w:styleId="18">
    <w:name w:val="Normal (Web)"/>
    <w:basedOn w:val="0"/>
    <w:pPr>
      <w:widowControl/>
      <w:spacing w:before="100" w:beforeAutospacing="1" w:after="100" w:afterAutospacing="1"/>
      <w:jc w:val="left"/>
    </w:pPr>
    <w:rPr>
      <w:rFonts w:ascii="宋体" w:cs="宋体"/>
      <w:kern w:val="0"/>
      <w:sz w:val="24"/>
    </w:rPr>
  </w:style>
  <w:style w:type="paragraph" w:styleId="19">
    <w:name w:val="header"/>
    <w:basedOn w:val="0"/>
    <w:pPr>
      <w:pBdr>
        <w:bottom w:val="single" w:sz="6" w:space="1" w:color="auto"/>
      </w:pBdr>
      <w:tabs>
        <w:tab w:val="center" w:pos="4153"/>
        <w:tab w:val="right" w:pos="8306"/>
      </w:tabs>
      <w:snapToGrid w:val="0"/>
      <w:jc w:val="center"/>
    </w:pPr>
    <w:rPr>
      <w:sz w:val="18"/>
      <w:szCs w:val="18"/>
    </w:rPr>
  </w:style>
  <w:style w:type="paragraph" w:styleId="20">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48</TotalTime>
  <Application>Yozo_Office</Application>
  <Pages>6</Pages>
  <Words>2061</Words>
  <Characters>2127</Characters>
  <Lines>200</Lines>
  <Paragraphs>141</Paragraphs>
  <CharactersWithSpaces>2167</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title>连云港市人民政府国资委2010年政府信息公开年度报告</dc:title>
  <dc:creator>微软用户</dc:creator>
  <cp:lastModifiedBy>微软用户</cp:lastModifiedBy>
  <cp:revision>8</cp:revision>
  <cp:lastPrinted>2014-03-05T07:24:50Z</cp:lastPrinted>
  <dcterms:created xsi:type="dcterms:W3CDTF">2011-12-28T08:45:00Z</dcterms:created>
</cp:coreProperties>
</file>